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32"/>
          <w:szCs w:val="32"/>
        </w:rPr>
      </w:pPr>
      <w:r>
        <w:rPr>
          <w:sz w:val="32"/>
          <w:szCs w:val="32"/>
        </w:rPr>
        <w:t>Hustota a Archimédés</w:t>
      </w:r>
    </w:p>
    <w:p>
      <w:pPr>
        <w:pStyle w:val="Normal"/>
        <w:rPr/>
      </w:pPr>
      <w:r>
        <w:rPr/>
      </w:r>
    </w:p>
    <w:p>
      <w:pPr>
        <w:pStyle w:val="Normal"/>
        <w:rPr>
          <w:sz w:val="28"/>
          <w:szCs w:val="28"/>
        </w:rPr>
      </w:pPr>
      <w:r>
        <w:rPr>
          <w:sz w:val="28"/>
          <w:szCs w:val="28"/>
        </w:rPr>
        <w:t xml:space="preserve">Co na  to RVP ZV?    </w:t>
      </w:r>
      <w:r>
        <w:rPr>
          <w:sz w:val="24"/>
          <w:szCs w:val="24"/>
          <w:u w:val="single"/>
        </w:rPr>
        <w:t>Očekávané výstupy:</w:t>
      </w:r>
    </w:p>
    <w:p>
      <w:pPr>
        <w:pStyle w:val="Normal"/>
        <w:rPr>
          <w:sz w:val="24"/>
          <w:szCs w:val="24"/>
        </w:rPr>
      </w:pPr>
      <w:r>
        <w:rPr>
          <w:b/>
          <w:sz w:val="24"/>
          <w:szCs w:val="24"/>
        </w:rPr>
        <w:t>Látky a tělesa</w:t>
      </w:r>
      <w:r>
        <w:rPr>
          <w:sz w:val="24"/>
          <w:szCs w:val="24"/>
        </w:rPr>
        <w:t>: F-9-1-04 využívá s porozuměním vztah mezi hustotou, hmotností a objemem při řešení praktických problémů</w:t>
      </w:r>
    </w:p>
    <w:p>
      <w:pPr>
        <w:pStyle w:val="Normal"/>
        <w:rPr>
          <w:sz w:val="24"/>
          <w:szCs w:val="24"/>
        </w:rPr>
      </w:pPr>
      <w:r>
        <w:rPr>
          <w:b/>
          <w:sz w:val="24"/>
          <w:szCs w:val="24"/>
        </w:rPr>
        <w:t>Mechanické vlastnosti tekutin</w:t>
      </w:r>
      <w:r>
        <w:rPr>
          <w:sz w:val="24"/>
          <w:szCs w:val="24"/>
        </w:rPr>
        <w:t>: F-9-3-01 využívá poznatky o zákonitostech tlaku v klidných tekutinách pro řešení konkrétních praktických problémů</w:t>
      </w:r>
    </w:p>
    <w:p>
      <w:pPr>
        <w:pStyle w:val="Normal"/>
        <w:rPr>
          <w:sz w:val="24"/>
          <w:szCs w:val="24"/>
        </w:rPr>
      </w:pPr>
      <w:r>
        <w:rPr>
          <w:sz w:val="24"/>
          <w:szCs w:val="24"/>
        </w:rPr>
      </w:r>
    </w:p>
    <w:p>
      <w:pPr>
        <w:pStyle w:val="Normal"/>
        <w:rPr>
          <w:b/>
          <w:b/>
          <w:sz w:val="24"/>
          <w:szCs w:val="24"/>
        </w:rPr>
      </w:pPr>
      <w:r>
        <w:rPr>
          <w:b/>
          <w:sz w:val="24"/>
          <w:szCs w:val="24"/>
        </w:rPr>
        <w:t>Hustota</w:t>
      </w:r>
    </w:p>
    <w:p>
      <w:pPr>
        <w:pStyle w:val="ListParagraph"/>
        <w:numPr>
          <w:ilvl w:val="0"/>
          <w:numId w:val="1"/>
        </w:numPr>
        <w:rPr>
          <w:sz w:val="24"/>
          <w:szCs w:val="24"/>
        </w:rPr>
      </w:pPr>
      <w:r>
        <w:rPr>
          <w:b/>
          <w:sz w:val="24"/>
          <w:szCs w:val="24"/>
        </w:rPr>
        <w:t>Uvědomění si významu pojmu</w:t>
      </w:r>
    </w:p>
    <w:p>
      <w:pPr>
        <w:pStyle w:val="ListParagraph"/>
        <w:numPr>
          <w:ilvl w:val="0"/>
          <w:numId w:val="2"/>
        </w:numPr>
        <w:rPr>
          <w:sz w:val="24"/>
          <w:szCs w:val="24"/>
        </w:rPr>
      </w:pPr>
      <w:r>
        <w:rPr>
          <w:sz w:val="24"/>
          <w:szCs w:val="24"/>
        </w:rPr>
        <w:t xml:space="preserve">Porovnáváme hmotnosti těles stejného objemu – 5 cm krychle nebo jiná tělesa stejných rozměrů. </w:t>
      </w:r>
      <w:r>
        <w:rPr>
          <w:b/>
          <w:sz w:val="24"/>
          <w:szCs w:val="24"/>
        </w:rPr>
        <w:t xml:space="preserve"> </w:t>
      </w:r>
      <w:r>
        <w:rPr>
          <w:sz w:val="24"/>
          <w:szCs w:val="24"/>
        </w:rPr>
        <w:t>(</w:t>
      </w:r>
      <w:r>
        <w:rPr>
          <w:b/>
          <w:sz w:val="24"/>
          <w:szCs w:val="24"/>
        </w:rPr>
        <w:t>Pomůcky</w:t>
      </w:r>
      <w:r>
        <w:rPr>
          <w:sz w:val="24"/>
          <w:szCs w:val="24"/>
        </w:rPr>
        <w:t>: několik krychliček stejného objemu – Fe, Al, dřevo, polystyrén)</w:t>
      </w:r>
    </w:p>
    <w:p>
      <w:pPr>
        <w:pStyle w:val="ListParagraph"/>
        <w:numPr>
          <w:ilvl w:val="0"/>
          <w:numId w:val="2"/>
        </w:numPr>
        <w:rPr>
          <w:sz w:val="24"/>
          <w:szCs w:val="24"/>
        </w:rPr>
      </w:pPr>
      <w:r>
        <w:rPr>
          <w:sz w:val="24"/>
          <w:szCs w:val="24"/>
        </w:rPr>
        <w:t>Práce s </w:t>
      </w:r>
      <w:r>
        <w:rPr>
          <w:b/>
          <w:sz w:val="24"/>
          <w:szCs w:val="24"/>
        </w:rPr>
        <w:t>tabulkami</w:t>
      </w:r>
      <w:r>
        <w:rPr>
          <w:sz w:val="24"/>
          <w:szCs w:val="24"/>
        </w:rPr>
        <w:t xml:space="preserve"> – vyhledávání hustoty kovových prvků (Au, Fe, Al, Ag, ...), plynů – CO</w:t>
      </w:r>
      <w:r>
        <w:rPr>
          <w:sz w:val="24"/>
          <w:szCs w:val="24"/>
          <w:vertAlign w:val="subscript"/>
        </w:rPr>
        <w:t>2</w:t>
      </w:r>
      <w:r>
        <w:rPr>
          <w:sz w:val="24"/>
          <w:szCs w:val="24"/>
        </w:rPr>
        <w:t xml:space="preserve">, kyslík, dusík, vodík </w:t>
      </w:r>
      <w:r>
        <w:rPr>
          <w:rFonts w:eastAsia="Wingdings" w:cs="Wingdings" w:ascii="Wingdings" w:hAnsi="Wingdings"/>
          <w:sz w:val="24"/>
          <w:szCs w:val="24"/>
        </w:rPr>
        <w:t></w:t>
      </w:r>
      <w:r>
        <w:rPr>
          <w:sz w:val="24"/>
          <w:szCs w:val="24"/>
        </w:rPr>
        <w:t>vytváření představy, kolik váží metrová krychle dalé látky</w:t>
      </w:r>
    </w:p>
    <w:p>
      <w:pPr>
        <w:pStyle w:val="ListParagraph"/>
        <w:numPr>
          <w:ilvl w:val="0"/>
          <w:numId w:val="1"/>
        </w:numPr>
        <w:rPr>
          <w:b/>
          <w:b/>
          <w:sz w:val="24"/>
          <w:szCs w:val="24"/>
        </w:rPr>
      </w:pPr>
      <w:r>
        <w:rPr>
          <w:b/>
          <w:sz w:val="24"/>
          <w:szCs w:val="24"/>
        </w:rPr>
        <w:t>Spojení pojmu hustota s plaváním těles (příprava k Archimédovi)</w:t>
      </w:r>
    </w:p>
    <w:p>
      <w:pPr>
        <w:pStyle w:val="ListParagraph"/>
        <w:numPr>
          <w:ilvl w:val="0"/>
          <w:numId w:val="2"/>
        </w:numPr>
        <w:rPr>
          <w:sz w:val="24"/>
          <w:szCs w:val="24"/>
        </w:rPr>
      </w:pPr>
      <w:r>
        <w:rPr>
          <w:sz w:val="24"/>
          <w:szCs w:val="24"/>
        </w:rPr>
        <w:t>Proč plave olej na vodě, dřevo na vodě (tabulky – hustota vody a oleje)</w:t>
      </w:r>
    </w:p>
    <w:p>
      <w:pPr>
        <w:pStyle w:val="ListParagraph"/>
        <w:numPr>
          <w:ilvl w:val="0"/>
          <w:numId w:val="2"/>
        </w:numPr>
        <w:rPr>
          <w:sz w:val="24"/>
          <w:szCs w:val="24"/>
        </w:rPr>
      </w:pPr>
      <w:r>
        <w:rPr>
          <w:sz w:val="24"/>
          <w:szCs w:val="24"/>
        </w:rPr>
        <w:t xml:space="preserve">Které ovoce plave, které neplave, co se změní, když oloupeme (pomeranč, grap) </w:t>
      </w:r>
    </w:p>
    <w:p>
      <w:pPr>
        <w:pStyle w:val="Normal"/>
        <w:ind w:left="720" w:hanging="0"/>
        <w:rPr>
          <w:sz w:val="24"/>
          <w:szCs w:val="24"/>
        </w:rPr>
      </w:pPr>
      <w:r>
        <w:rPr>
          <w:sz w:val="24"/>
          <w:szCs w:val="24"/>
        </w:rPr>
        <w:t xml:space="preserve">       </w:t>
      </w:r>
      <w:r>
        <w:rPr>
          <w:b/>
          <w:sz w:val="24"/>
          <w:szCs w:val="24"/>
        </w:rPr>
        <w:t>pomůcky</w:t>
      </w:r>
      <w:r>
        <w:rPr>
          <w:sz w:val="24"/>
          <w:szCs w:val="24"/>
        </w:rPr>
        <w:t>: akvárko s vodou, jablko, pomeranč, mandarinka – oloupané, neoloupané</w:t>
      </w:r>
    </w:p>
    <w:p>
      <w:pPr>
        <w:pStyle w:val="ListParagraph"/>
        <w:numPr>
          <w:ilvl w:val="0"/>
          <w:numId w:val="1"/>
        </w:numPr>
        <w:rPr>
          <w:b/>
          <w:b/>
          <w:sz w:val="24"/>
          <w:szCs w:val="24"/>
        </w:rPr>
      </w:pPr>
      <w:r>
        <w:rPr>
          <w:b/>
          <w:sz w:val="24"/>
          <w:szCs w:val="24"/>
        </w:rPr>
        <w:t>Práce s tabulkami a výpočet hmotnosti tělesa zadaného objemu</w:t>
      </w:r>
    </w:p>
    <w:p>
      <w:pPr>
        <w:pStyle w:val="ListParagraph"/>
        <w:numPr>
          <w:ilvl w:val="0"/>
          <w:numId w:val="2"/>
        </w:numPr>
        <w:rPr>
          <w:sz w:val="24"/>
          <w:szCs w:val="24"/>
        </w:rPr>
      </w:pPr>
      <w:r>
        <w:rPr>
          <w:sz w:val="24"/>
          <w:szCs w:val="24"/>
        </w:rPr>
        <w:t>Kolik váží vzduch v místnosti, voda v akvárku, dřevěný hranol ..., litr vody a litr oleje</w:t>
      </w:r>
    </w:p>
    <w:p>
      <w:pPr>
        <w:pStyle w:val="ListParagraph"/>
        <w:numPr>
          <w:ilvl w:val="0"/>
          <w:numId w:val="1"/>
        </w:numPr>
        <w:rPr>
          <w:rFonts w:eastAsia="" w:eastAsiaTheme="minorEastAsia"/>
          <w:sz w:val="24"/>
          <w:szCs w:val="24"/>
        </w:rPr>
      </w:pPr>
      <w:r>
        <w:rPr>
          <w:b/>
          <w:sz w:val="24"/>
          <w:szCs w:val="24"/>
        </w:rPr>
        <w:t>Určení hustoty předloženého tělesa</w:t>
      </w:r>
      <w:r>
        <w:rPr>
          <w:sz w:val="24"/>
          <w:szCs w:val="24"/>
        </w:rPr>
        <w:t xml:space="preserve"> (nejdříve v </w:t>
      </w:r>
      <w:r>
        <w:rPr/>
      </w:r>
      <m:oMath xmlns:m="http://schemas.openxmlformats.org/officeDocument/2006/math">
        <m:f>
          <m:num>
            <m:r>
              <w:rPr>
                <w:rFonts w:ascii="Cambria Math" w:hAnsi="Cambria Math"/>
              </w:rPr>
              <m:t xml:space="preserve">g</m:t>
            </m:r>
          </m:num>
          <m:den>
            <m:r>
              <w:rPr>
                <w:rFonts w:ascii="Cambria Math" w:hAnsi="Cambria Math"/>
              </w:rPr>
              <m:t xml:space="preserve">cm</m:t>
            </m:r>
            <m:r>
              <w:rPr>
                <w:rFonts w:ascii="Cambria Math" w:hAnsi="Cambria Math"/>
              </w:rPr>
              <m:t xml:space="preserve">3</m:t>
            </m:r>
          </m:den>
        </m:f>
      </m:oMath>
      <w:r>
        <w:rPr>
          <w:rFonts w:eastAsia="" w:eastAsiaTheme="minorEastAsia"/>
          <w:sz w:val="24"/>
          <w:szCs w:val="24"/>
        </w:rPr>
        <w:t xml:space="preserve"> ), potom výpočet hmotnosti 1m</w:t>
      </w:r>
      <w:r>
        <w:rPr>
          <w:rFonts w:eastAsia="" w:eastAsiaTheme="minorEastAsia"/>
          <w:sz w:val="24"/>
          <w:szCs w:val="24"/>
          <w:vertAlign w:val="superscript"/>
        </w:rPr>
        <w:t>3</w:t>
      </w:r>
      <w:r>
        <w:rPr>
          <w:rFonts w:eastAsia="" w:eastAsiaTheme="minorEastAsia"/>
          <w:sz w:val="24"/>
          <w:szCs w:val="24"/>
        </w:rPr>
        <w:t xml:space="preserve"> dané látky (převod na </w:t>
      </w:r>
      <w:r>
        <w:rPr/>
      </w:r>
      <m:oMath xmlns:m="http://schemas.openxmlformats.org/officeDocument/2006/math">
        <m:f>
          <m:num>
            <m:r>
              <w:rPr>
                <w:rFonts w:ascii="Cambria Math" w:hAnsi="Cambria Math"/>
              </w:rPr>
              <m:t xml:space="preserve">kg</m:t>
            </m:r>
          </m:num>
          <m:den>
            <m:r>
              <w:rPr>
                <w:rFonts w:ascii="Cambria Math" w:hAnsi="Cambria Math"/>
              </w:rPr>
              <m:t xml:space="preserve">m</m:t>
            </m:r>
            <m:r>
              <w:rPr>
                <w:rFonts w:ascii="Cambria Math" w:hAnsi="Cambria Math"/>
              </w:rPr>
              <m:t xml:space="preserve">3</m:t>
            </m:r>
          </m:den>
        </m:f>
      </m:oMath>
      <w:r>
        <w:rPr>
          <w:rFonts w:eastAsia="" w:eastAsiaTheme="minorEastAsia"/>
          <w:sz w:val="24"/>
          <w:szCs w:val="24"/>
        </w:rPr>
        <w:t xml:space="preserve"> )</w:t>
      </w:r>
    </w:p>
    <w:p>
      <w:pPr>
        <w:pStyle w:val="ListParagraph"/>
        <w:rPr>
          <w:sz w:val="24"/>
          <w:szCs w:val="24"/>
        </w:rPr>
      </w:pPr>
      <w:r>
        <w:rPr>
          <w:b/>
          <w:sz w:val="24"/>
          <w:szCs w:val="24"/>
        </w:rPr>
        <w:t xml:space="preserve">Pomůcky: </w:t>
      </w:r>
      <w:r>
        <w:rPr>
          <w:sz w:val="24"/>
          <w:szCs w:val="24"/>
        </w:rPr>
        <w:t xml:space="preserve">drevěný kvádr nebo kvádr s jiného materiálu (např. polystyrén), pravítko, váhy, možnost použít kalkulačku </w:t>
      </w:r>
    </w:p>
    <w:p>
      <w:pPr>
        <w:pStyle w:val="ListParagraph"/>
        <w:rPr>
          <w:rFonts w:eastAsia="" w:eastAsiaTheme="minorEastAsia"/>
          <w:sz w:val="24"/>
          <w:szCs w:val="24"/>
        </w:rPr>
      </w:pPr>
      <w:r>
        <w:rPr>
          <w:b/>
          <w:sz w:val="24"/>
          <w:szCs w:val="24"/>
        </w:rPr>
        <w:t>Forma –</w:t>
      </w:r>
      <w:r>
        <w:rPr>
          <w:rFonts w:eastAsia="" w:eastAsiaTheme="minorEastAsia"/>
          <w:sz w:val="24"/>
          <w:szCs w:val="24"/>
        </w:rPr>
        <w:t xml:space="preserve"> pracujeme společně, určení žáci měří, váží, počítáme společně.</w:t>
      </w:r>
    </w:p>
    <w:p>
      <w:pPr>
        <w:pStyle w:val="ListParagraph"/>
        <w:rPr>
          <w:rFonts w:eastAsia="" w:eastAsiaTheme="minorEastAsia"/>
          <w:sz w:val="24"/>
          <w:szCs w:val="24"/>
        </w:rPr>
      </w:pPr>
      <w:r>
        <w:rPr>
          <w:b/>
          <w:sz w:val="24"/>
          <w:szCs w:val="24"/>
        </w:rPr>
        <w:t>Problém –</w:t>
      </w:r>
      <w:r>
        <w:rPr>
          <w:rFonts w:eastAsia="" w:eastAsiaTheme="minorEastAsia"/>
          <w:sz w:val="24"/>
          <w:szCs w:val="24"/>
        </w:rPr>
        <w:t xml:space="preserve"> žáci ještě nemusí mít probraný výpočet objemu kvádru v matematice – takže vyladění programu s M.</w:t>
      </w:r>
    </w:p>
    <w:p>
      <w:pPr>
        <w:pStyle w:val="ListParagraph"/>
        <w:rPr>
          <w:rFonts w:eastAsia="" w:eastAsiaTheme="minorEastAsia"/>
          <w:sz w:val="24"/>
          <w:szCs w:val="24"/>
        </w:rPr>
      </w:pPr>
      <w:r>
        <w:rPr>
          <w:b/>
          <w:sz w:val="24"/>
          <w:szCs w:val="24"/>
        </w:rPr>
        <w:t>Návod –</w:t>
      </w:r>
      <w:r>
        <w:rPr>
          <w:rFonts w:eastAsia="" w:eastAsiaTheme="minorEastAsia"/>
          <w:sz w:val="24"/>
          <w:szCs w:val="24"/>
        </w:rPr>
        <w:t xml:space="preserve"> hustota v </w:t>
      </w:r>
      <w:r>
        <w:rPr/>
      </w:r>
      <m:oMath xmlns:m="http://schemas.openxmlformats.org/officeDocument/2006/math">
        <m:f>
          <m:num>
            <m:r>
              <w:rPr>
                <w:rFonts w:ascii="Cambria Math" w:hAnsi="Cambria Math"/>
              </w:rPr>
              <m:t xml:space="preserve">g</m:t>
            </m:r>
          </m:num>
          <m:den>
            <m:r>
              <w:rPr>
                <w:rFonts w:ascii="Cambria Math" w:hAnsi="Cambria Math"/>
              </w:rPr>
              <m:t xml:space="preserve">cm</m:t>
            </m:r>
            <m:r>
              <w:rPr>
                <w:rFonts w:ascii="Cambria Math" w:hAnsi="Cambria Math"/>
              </w:rPr>
              <m:t xml:space="preserve">3</m:t>
            </m:r>
          </m:den>
        </m:f>
      </m:oMath>
      <w:r>
        <w:rPr>
          <w:rFonts w:eastAsia="" w:eastAsiaTheme="minorEastAsia"/>
          <w:sz w:val="24"/>
          <w:szCs w:val="24"/>
        </w:rPr>
        <w:t xml:space="preserve"> určuje, kolik gramů váží 1 cm</w:t>
      </w:r>
      <w:r>
        <w:rPr>
          <w:rFonts w:eastAsia="" w:eastAsiaTheme="minorEastAsia"/>
          <w:sz w:val="24"/>
          <w:szCs w:val="24"/>
          <w:vertAlign w:val="superscript"/>
        </w:rPr>
        <w:t>3</w:t>
      </w:r>
      <w:r>
        <w:rPr>
          <w:rFonts w:eastAsia="" w:eastAsiaTheme="minorEastAsia"/>
          <w:sz w:val="24"/>
          <w:szCs w:val="24"/>
        </w:rPr>
        <w:t>daného materiálu. Takže určujeme, kolik váží 1 cm</w:t>
      </w:r>
      <w:r>
        <w:rPr>
          <w:rFonts w:eastAsia="" w:eastAsiaTheme="minorEastAsia"/>
          <w:sz w:val="24"/>
          <w:szCs w:val="24"/>
          <w:vertAlign w:val="superscript"/>
        </w:rPr>
        <w:t xml:space="preserve">3 </w:t>
      </w:r>
      <w:r>
        <w:rPr>
          <w:rFonts w:eastAsia="" w:eastAsiaTheme="minorEastAsia"/>
          <w:sz w:val="24"/>
          <w:szCs w:val="24"/>
        </w:rPr>
        <w:t xml:space="preserve">daného tělesa. Výsledky v </w:t>
      </w:r>
      <w:r>
        <w:rPr/>
      </w:r>
      <m:oMath xmlns:m="http://schemas.openxmlformats.org/officeDocument/2006/math">
        <m:f>
          <m:num>
            <m:r>
              <w:rPr>
                <w:rFonts w:ascii="Cambria Math" w:hAnsi="Cambria Math"/>
              </w:rPr>
              <m:t xml:space="preserve">kg</m:t>
            </m:r>
          </m:num>
          <m:den>
            <m:r>
              <w:rPr>
                <w:rFonts w:ascii="Cambria Math" w:hAnsi="Cambria Math"/>
              </w:rPr>
              <m:t xml:space="preserve">m</m:t>
            </m:r>
            <m:r>
              <w:rPr>
                <w:rFonts w:ascii="Cambria Math" w:hAnsi="Cambria Math"/>
              </w:rPr>
              <m:t xml:space="preserve">3</m:t>
            </m:r>
          </m:den>
        </m:f>
      </m:oMath>
      <w:r>
        <w:rPr>
          <w:rFonts w:eastAsia="" w:eastAsiaTheme="minorEastAsia"/>
          <w:sz w:val="24"/>
          <w:szCs w:val="24"/>
        </w:rPr>
        <w:t xml:space="preserve"> porovnáváme s hodnotami v tabulkách.</w:t>
      </w:r>
    </w:p>
    <w:p>
      <w:pPr>
        <w:pStyle w:val="ListParagraph"/>
        <w:numPr>
          <w:ilvl w:val="0"/>
          <w:numId w:val="1"/>
        </w:numPr>
        <w:rPr>
          <w:rFonts w:eastAsia="" w:eastAsiaTheme="minorEastAsia"/>
          <w:sz w:val="24"/>
          <w:szCs w:val="24"/>
        </w:rPr>
      </w:pPr>
      <w:r>
        <w:rPr>
          <w:rFonts w:eastAsia="" w:eastAsiaTheme="minorEastAsia"/>
          <w:sz w:val="24"/>
          <w:szCs w:val="24"/>
        </w:rPr>
        <w:t>Určení hustoty kapaliny (výpočtem)</w:t>
      </w:r>
    </w:p>
    <w:p>
      <w:pPr>
        <w:pStyle w:val="ListParagraph"/>
        <w:rPr>
          <w:rFonts w:eastAsia="" w:eastAsiaTheme="minorEastAsia"/>
          <w:sz w:val="24"/>
          <w:szCs w:val="24"/>
        </w:rPr>
      </w:pPr>
      <w:r>
        <w:rPr>
          <w:rFonts w:eastAsia="" w:eastAsiaTheme="minorEastAsia"/>
          <w:b/>
          <w:sz w:val="24"/>
          <w:szCs w:val="24"/>
        </w:rPr>
        <w:t>Pomůcky</w:t>
      </w:r>
      <w:r>
        <w:rPr>
          <w:rFonts w:eastAsia="" w:eastAsiaTheme="minorEastAsia"/>
          <w:sz w:val="24"/>
          <w:szCs w:val="24"/>
        </w:rPr>
        <w:t>: odměrný válec, digitální váhy, voda</w:t>
      </w:r>
    </w:p>
    <w:p>
      <w:pPr>
        <w:pStyle w:val="ListParagraph"/>
        <w:rPr>
          <w:rFonts w:eastAsia="" w:eastAsiaTheme="minorEastAsia"/>
          <w:sz w:val="24"/>
          <w:szCs w:val="24"/>
        </w:rPr>
      </w:pPr>
      <w:r>
        <w:rPr>
          <w:rFonts w:eastAsia="" w:eastAsiaTheme="minorEastAsia"/>
          <w:b/>
          <w:sz w:val="24"/>
          <w:szCs w:val="24"/>
        </w:rPr>
        <w:t xml:space="preserve">Alternativa </w:t>
      </w:r>
      <w:r>
        <w:rPr>
          <w:rFonts w:eastAsia="" w:eastAsiaTheme="minorEastAsia"/>
          <w:sz w:val="24"/>
          <w:szCs w:val="24"/>
        </w:rPr>
        <w:t>- slaná voda (nasycený roztok)</w:t>
      </w:r>
    </w:p>
    <w:p>
      <w:pPr>
        <w:pStyle w:val="Normal"/>
        <w:rPr>
          <w:rFonts w:eastAsia="" w:eastAsiaTheme="minorEastAsia"/>
          <w:b/>
          <w:b/>
          <w:sz w:val="24"/>
          <w:szCs w:val="24"/>
        </w:rPr>
      </w:pPr>
      <w:r>
        <w:rPr>
          <w:rFonts w:eastAsia="" w:eastAsiaTheme="minorEastAsia"/>
          <w:b/>
          <w:sz w:val="24"/>
          <w:szCs w:val="24"/>
        </w:rPr>
        <w:t>Laboratorní práce: Určení hustoty předloženého tělesa</w:t>
      </w:r>
    </w:p>
    <w:p>
      <w:pPr>
        <w:pStyle w:val="ListParagraph"/>
        <w:numPr>
          <w:ilvl w:val="0"/>
          <w:numId w:val="2"/>
        </w:numPr>
        <w:rPr>
          <w:rFonts w:eastAsia="" w:eastAsiaTheme="minorEastAsia"/>
          <w:b/>
          <w:b/>
          <w:sz w:val="24"/>
          <w:szCs w:val="24"/>
        </w:rPr>
      </w:pPr>
      <w:r>
        <w:rPr>
          <w:rFonts w:eastAsia="" w:eastAsiaTheme="minorEastAsia"/>
          <w:b/>
          <w:sz w:val="24"/>
          <w:szCs w:val="24"/>
        </w:rPr>
        <w:t xml:space="preserve">Kvádr </w:t>
      </w:r>
      <w:r>
        <w:rPr>
          <w:rFonts w:eastAsia="" w:eastAsiaTheme="minorEastAsia"/>
          <w:sz w:val="24"/>
          <w:szCs w:val="24"/>
        </w:rPr>
        <w:t>(objem počítáme z rozměrů)</w:t>
      </w:r>
    </w:p>
    <w:p>
      <w:pPr>
        <w:pStyle w:val="ListParagraph"/>
        <w:numPr>
          <w:ilvl w:val="0"/>
          <w:numId w:val="2"/>
        </w:numPr>
        <w:rPr>
          <w:rFonts w:eastAsia="" w:eastAsiaTheme="minorEastAsia"/>
          <w:b/>
          <w:b/>
          <w:sz w:val="24"/>
          <w:szCs w:val="24"/>
        </w:rPr>
      </w:pPr>
      <w:r>
        <w:rPr>
          <w:rFonts w:eastAsia="" w:eastAsiaTheme="minorEastAsia"/>
          <w:b/>
          <w:sz w:val="24"/>
          <w:szCs w:val="24"/>
        </w:rPr>
        <w:t xml:space="preserve">Nepravidelné těleso </w:t>
      </w:r>
      <w:r>
        <w:rPr>
          <w:rFonts w:eastAsia="" w:eastAsiaTheme="minorEastAsia"/>
          <w:sz w:val="24"/>
          <w:szCs w:val="24"/>
        </w:rPr>
        <w:t>(objem měříme ponořováním v odměrném válci)</w:t>
      </w:r>
    </w:p>
    <w:p>
      <w:pPr>
        <w:pStyle w:val="ListParagraph"/>
        <w:numPr>
          <w:ilvl w:val="0"/>
          <w:numId w:val="2"/>
        </w:numPr>
        <w:rPr>
          <w:rFonts w:eastAsia="" w:eastAsiaTheme="minorEastAsia"/>
          <w:b/>
          <w:b/>
          <w:sz w:val="24"/>
          <w:szCs w:val="24"/>
        </w:rPr>
      </w:pPr>
      <w:r>
        <w:rPr>
          <w:rFonts w:eastAsia="" w:eastAsiaTheme="minorEastAsia"/>
          <w:b/>
          <w:sz w:val="24"/>
          <w:szCs w:val="24"/>
        </w:rPr>
        <w:t xml:space="preserve">Neznámé kapaliny </w:t>
      </w:r>
      <w:r>
        <w:rPr>
          <w:rFonts w:eastAsia="" w:eastAsiaTheme="minorEastAsia"/>
          <w:sz w:val="24"/>
          <w:szCs w:val="24"/>
        </w:rPr>
        <w:t>(obarvená voda, s přidáním soli)</w:t>
      </w:r>
    </w:p>
    <w:p>
      <w:pPr>
        <w:pStyle w:val="ListParagraph"/>
        <w:numPr>
          <w:ilvl w:val="0"/>
          <w:numId w:val="2"/>
        </w:numPr>
        <w:rPr>
          <w:rFonts w:eastAsia="" w:eastAsiaTheme="minorEastAsia"/>
          <w:b/>
          <w:b/>
          <w:sz w:val="24"/>
          <w:szCs w:val="24"/>
        </w:rPr>
      </w:pPr>
      <w:r>
        <w:rPr>
          <w:rFonts w:eastAsia="" w:eastAsiaTheme="minorEastAsia"/>
          <w:b/>
          <w:sz w:val="24"/>
          <w:szCs w:val="24"/>
        </w:rPr>
        <w:t xml:space="preserve">Určování materiálu, ze kterého jsou vyrobeny krychličky </w:t>
      </w:r>
      <w:r>
        <w:rPr>
          <w:rFonts w:eastAsia="" w:eastAsiaTheme="minorEastAsia"/>
          <w:sz w:val="24"/>
          <w:szCs w:val="24"/>
        </w:rPr>
        <w:t>(sada k zapůjčení)</w:t>
      </w:r>
    </w:p>
    <w:p>
      <w:pPr>
        <w:pStyle w:val="ListParagraph"/>
        <w:numPr>
          <w:ilvl w:val="0"/>
          <w:numId w:val="2"/>
        </w:numPr>
        <w:rPr>
          <w:rFonts w:eastAsia="" w:eastAsiaTheme="minorEastAsia"/>
          <w:b/>
          <w:b/>
          <w:sz w:val="24"/>
          <w:szCs w:val="24"/>
        </w:rPr>
      </w:pPr>
      <w:r>
        <w:rPr>
          <w:rFonts w:eastAsia="" w:eastAsiaTheme="minorEastAsia"/>
          <w:b/>
          <w:sz w:val="24"/>
          <w:szCs w:val="24"/>
        </w:rPr>
        <w:t xml:space="preserve">Určení hustoty modelíny </w:t>
      </w:r>
      <w:r>
        <w:rPr>
          <w:rFonts w:eastAsia="" w:eastAsiaTheme="minorEastAsia"/>
          <w:sz w:val="24"/>
          <w:szCs w:val="24"/>
        </w:rPr>
        <w:t>(z modelíny vytvarují krychli, změří rozměry, určí hmotnost, počítají, potom přemodelují na kvádr se čtvercovou podstavou 1  cm x 1 cm, opět řeší výpočtem)</w:t>
      </w:r>
    </w:p>
    <w:p>
      <w:pPr>
        <w:pStyle w:val="Normal"/>
        <w:rPr>
          <w:sz w:val="24"/>
          <w:szCs w:val="24"/>
        </w:rPr>
      </w:pPr>
      <w:r>
        <w:rPr>
          <w:sz w:val="24"/>
          <w:szCs w:val="24"/>
        </w:rPr>
        <w:t xml:space="preserve">Zajímavé eperimenty – Vajíčko v kádince se slanou (spodní vrstva) a čistou vodou (horní vrstva),  </w:t>
      </w:r>
    </w:p>
    <w:p>
      <w:pPr>
        <w:pStyle w:val="ListParagraph"/>
        <w:numPr>
          <w:ilvl w:val="0"/>
          <w:numId w:val="2"/>
        </w:numPr>
        <w:rPr>
          <w:sz w:val="24"/>
          <w:szCs w:val="24"/>
        </w:rPr>
      </w:pPr>
      <w:r>
        <w:rPr>
          <w:sz w:val="24"/>
          <w:szCs w:val="24"/>
        </w:rPr>
        <w:t>Seanova láhev</w:t>
      </w:r>
    </w:p>
    <w:p>
      <w:pPr>
        <w:pStyle w:val="Normal"/>
        <w:ind w:left="360" w:hanging="0"/>
        <w:rPr>
          <w:b/>
          <w:b/>
          <w:sz w:val="24"/>
          <w:szCs w:val="24"/>
        </w:rPr>
      </w:pPr>
      <w:r>
        <w:rPr>
          <w:b/>
          <w:sz w:val="24"/>
          <w:szCs w:val="24"/>
        </w:rPr>
        <w:t xml:space="preserve">Archimedův zákon </w:t>
      </w:r>
    </w:p>
    <w:p>
      <w:pPr>
        <w:pStyle w:val="Normal"/>
        <w:ind w:left="360" w:hanging="0"/>
        <w:rPr>
          <w:sz w:val="24"/>
          <w:szCs w:val="24"/>
        </w:rPr>
      </w:pPr>
      <w:r>
        <w:rPr>
          <w:b/>
          <w:sz w:val="24"/>
          <w:szCs w:val="24"/>
        </w:rPr>
        <w:t xml:space="preserve">Můžeme se vrátit k pokusům s ovocem </w:t>
      </w:r>
      <w:r>
        <w:rPr>
          <w:sz w:val="24"/>
          <w:szCs w:val="24"/>
        </w:rPr>
        <w:t>s doplnění sil (které šesťáci ještě neznali) – síly akce a reakce, bavit se o hustotě těles, která plavou téměř celá ponořená – podobně jako člověk.</w:t>
      </w:r>
    </w:p>
    <w:p>
      <w:pPr>
        <w:pStyle w:val="Normal"/>
        <w:rPr>
          <w:b/>
          <w:b/>
          <w:sz w:val="24"/>
          <w:szCs w:val="24"/>
        </w:rPr>
      </w:pPr>
      <w:hyperlink r:id="rId2">
        <w:r>
          <w:rPr>
            <w:rStyle w:val="Internetovodkaz"/>
            <w:b/>
            <w:sz w:val="24"/>
            <w:szCs w:val="24"/>
          </w:rPr>
          <w:t>https://www.youtube.com/watch?v=UodGr6RtjNY</w:t>
        </w:r>
      </w:hyperlink>
    </w:p>
    <w:p>
      <w:pPr>
        <w:pStyle w:val="Normal"/>
        <w:rPr>
          <w:b/>
          <w:b/>
          <w:sz w:val="24"/>
          <w:szCs w:val="24"/>
        </w:rPr>
      </w:pPr>
      <w:r>
        <w:rPr>
          <w:b/>
          <w:sz w:val="24"/>
          <w:szCs w:val="24"/>
        </w:rPr>
        <w:t xml:space="preserve">Měření vztlakové síly: </w:t>
      </w:r>
    </w:p>
    <w:p>
      <w:pPr>
        <w:pStyle w:val="ListParagraph"/>
        <w:numPr>
          <w:ilvl w:val="0"/>
          <w:numId w:val="2"/>
        </w:numPr>
        <w:rPr>
          <w:sz w:val="24"/>
          <w:szCs w:val="24"/>
        </w:rPr>
      </w:pPr>
      <w:r>
        <w:rPr>
          <w:sz w:val="24"/>
          <w:szCs w:val="24"/>
        </w:rPr>
        <w:t>Pověsíme těleso na siloměr a změříme jeho tíhu.</w:t>
      </w:r>
    </w:p>
    <w:p>
      <w:pPr>
        <w:pStyle w:val="ListParagraph"/>
        <w:ind w:left="1080" w:hanging="0"/>
        <w:rPr>
          <w:sz w:val="24"/>
          <w:szCs w:val="24"/>
        </w:rPr>
      </w:pPr>
      <w:r>
        <w:rPr>
          <w:sz w:val="24"/>
          <w:szCs w:val="24"/>
        </w:rPr>
        <w:t xml:space="preserve">(Tady jsou možné 2 situace: - těleso, které </w:t>
      </w:r>
      <w:r>
        <w:rPr>
          <w:sz w:val="24"/>
          <w:szCs w:val="24"/>
          <w:u w:val="single"/>
        </w:rPr>
        <w:t>nebude plavat</w:t>
      </w:r>
      <w:r>
        <w:rPr>
          <w:sz w:val="24"/>
          <w:szCs w:val="24"/>
        </w:rPr>
        <w:t xml:space="preserve"> – např. valíčko se 2 maticemi,</w:t>
      </w:r>
    </w:p>
    <w:p>
      <w:pPr>
        <w:pStyle w:val="ListParagraph"/>
        <w:ind w:left="1080" w:hanging="0"/>
        <w:rPr>
          <w:sz w:val="24"/>
          <w:szCs w:val="24"/>
        </w:rPr>
      </w:pPr>
      <w:r>
        <w:rPr>
          <w:sz w:val="24"/>
          <w:szCs w:val="24"/>
        </w:rPr>
        <w:t xml:space="preserve">nebo těleso, které </w:t>
      </w:r>
      <w:r>
        <w:rPr>
          <w:sz w:val="24"/>
          <w:szCs w:val="24"/>
          <w:u w:val="single"/>
        </w:rPr>
        <w:t>bude plavat</w:t>
      </w:r>
      <w:r>
        <w:rPr>
          <w:sz w:val="24"/>
          <w:szCs w:val="24"/>
        </w:rPr>
        <w:t xml:space="preserve"> – vajíčko s jednou maticí), </w:t>
      </w:r>
    </w:p>
    <w:p>
      <w:pPr>
        <w:pStyle w:val="ListParagraph"/>
        <w:numPr>
          <w:ilvl w:val="0"/>
          <w:numId w:val="2"/>
        </w:numPr>
        <w:rPr>
          <w:sz w:val="24"/>
          <w:szCs w:val="24"/>
        </w:rPr>
      </w:pPr>
      <w:r>
        <w:rPr>
          <w:sz w:val="24"/>
          <w:szCs w:val="24"/>
        </w:rPr>
        <w:t>Skleničku s vodou postavíme na váhy, změříme hmotnost, ponořujeme těleso pověšeno na siloměru – sledujeme úbitek síly na siloměru a přírůstek hmotnosti na vahách.</w:t>
      </w:r>
    </w:p>
    <w:p>
      <w:pPr>
        <w:pStyle w:val="ListParagraph"/>
        <w:numPr>
          <w:ilvl w:val="0"/>
          <w:numId w:val="2"/>
        </w:numPr>
        <w:rPr>
          <w:sz w:val="24"/>
          <w:szCs w:val="24"/>
        </w:rPr>
      </w:pPr>
      <w:r>
        <w:rPr>
          <w:sz w:val="24"/>
          <w:szCs w:val="24"/>
        </w:rPr>
        <w:t>Zapíšeme si sílu, kterou ukazuje siloměr při plném ponoru (pořád musí těleso viset na napnutém provázku) a sílu pak odečteme od původní síly. Podobně můžeme porovnat hmotnosti vody před a po ponoření.</w:t>
      </w:r>
    </w:p>
    <w:p>
      <w:pPr>
        <w:pStyle w:val="ListParagraph"/>
        <w:numPr>
          <w:ilvl w:val="0"/>
          <w:numId w:val="3"/>
        </w:numPr>
        <w:rPr>
          <w:b/>
          <w:b/>
          <w:sz w:val="24"/>
          <w:szCs w:val="24"/>
        </w:rPr>
      </w:pPr>
      <w:r>
        <w:rPr>
          <w:b/>
          <w:sz w:val="24"/>
          <w:szCs w:val="24"/>
        </w:rPr>
        <w:t xml:space="preserve">Zákon akce a reakce: </w:t>
      </w:r>
      <w:r>
        <w:rPr>
          <w:sz w:val="24"/>
          <w:szCs w:val="24"/>
        </w:rPr>
        <w:t>Těleso, které ponořujeme do kapaliny působí na kapalinu tlakovou silou, která se rovná tíze tohoto tělesa. Kapalina vytváří protisílu (vztlakovou sílu), která je způsobená tlakem kapaliny na vložené těleso. Když těleso plave, tak se tyto dvě síly rovnají. Těleso se zanoří do kapaliny takovým objemem, aby nastala rovnováha sil. Tyto síly se rovnaji tíze kapaliny, kterou bychom vměstnali do díry, kterou v kapalině vytvořilo zanořené těleso.</w:t>
      </w:r>
    </w:p>
    <w:p>
      <w:pPr>
        <w:pStyle w:val="Normal"/>
        <w:rPr>
          <w:b/>
          <w:b/>
          <w:sz w:val="24"/>
          <w:szCs w:val="24"/>
        </w:rPr>
      </w:pPr>
      <w:r>
        <w:rPr>
          <w:b/>
          <w:sz w:val="24"/>
          <w:szCs w:val="24"/>
        </w:rPr>
        <w:t>Úlohy pro žáky:</w:t>
      </w:r>
    </w:p>
    <w:p>
      <w:pPr>
        <w:pStyle w:val="ListParagraph"/>
        <w:numPr>
          <w:ilvl w:val="0"/>
          <w:numId w:val="4"/>
        </w:numPr>
        <w:rPr>
          <w:b/>
          <w:b/>
          <w:sz w:val="24"/>
          <w:szCs w:val="24"/>
        </w:rPr>
      </w:pPr>
      <w:r>
        <w:rPr>
          <w:b/>
          <w:sz w:val="24"/>
          <w:szCs w:val="24"/>
        </w:rPr>
        <w:t>Modelina ve vodě – neplave.</w:t>
      </w:r>
    </w:p>
    <w:p>
      <w:pPr>
        <w:pStyle w:val="Normal"/>
        <w:ind w:left="360" w:hanging="0"/>
        <w:rPr>
          <w:sz w:val="24"/>
          <w:szCs w:val="24"/>
        </w:rPr>
      </w:pPr>
      <w:r>
        <w:rPr>
          <w:b/>
          <w:sz w:val="24"/>
          <w:szCs w:val="24"/>
        </w:rPr>
        <w:t xml:space="preserve">Úloha – </w:t>
      </w:r>
      <w:r>
        <w:rPr>
          <w:sz w:val="24"/>
          <w:szCs w:val="24"/>
        </w:rPr>
        <w:t>změňte tvar modelíny tak, aby plavala a unesla vo vejvětší zátěž (např. kancelářské sponky)</w:t>
      </w:r>
    </w:p>
    <w:p>
      <w:pPr>
        <w:pStyle w:val="Normal"/>
        <w:ind w:left="360" w:hanging="0"/>
        <w:rPr>
          <w:sz w:val="24"/>
          <w:szCs w:val="24"/>
        </w:rPr>
      </w:pPr>
      <w:r>
        <w:rPr>
          <w:b/>
          <w:sz w:val="24"/>
          <w:szCs w:val="24"/>
        </w:rPr>
        <w:t xml:space="preserve">Diskuze </w:t>
      </w:r>
      <w:r>
        <w:rPr>
          <w:sz w:val="24"/>
          <w:szCs w:val="24"/>
        </w:rPr>
        <w:t>– jak přemýšleli, co je důležité při modelování udělat?</w:t>
      </w:r>
    </w:p>
    <w:p>
      <w:pPr>
        <w:pStyle w:val="ListParagraph"/>
        <w:numPr>
          <w:ilvl w:val="0"/>
          <w:numId w:val="4"/>
        </w:numPr>
        <w:rPr>
          <w:sz w:val="24"/>
          <w:szCs w:val="24"/>
        </w:rPr>
      </w:pPr>
      <w:r>
        <w:rPr>
          <w:b/>
          <w:sz w:val="24"/>
          <w:szCs w:val="24"/>
        </w:rPr>
        <w:t>Kinder vajíčkem a velkou maticí</w:t>
      </w:r>
      <w:r>
        <w:rPr>
          <w:sz w:val="24"/>
          <w:szCs w:val="24"/>
        </w:rPr>
        <w:t xml:space="preserve"> (zvolíme tak, aby vajíčko plavalo hodně ponořené).</w:t>
      </w:r>
    </w:p>
    <w:p>
      <w:pPr>
        <w:pStyle w:val="Normal"/>
        <w:ind w:left="384" w:hanging="0"/>
        <w:rPr>
          <w:sz w:val="24"/>
          <w:szCs w:val="24"/>
        </w:rPr>
      </w:pPr>
      <w:r>
        <w:rPr>
          <w:b/>
          <w:sz w:val="24"/>
          <w:szCs w:val="24"/>
        </w:rPr>
        <w:t xml:space="preserve">Úloha: </w:t>
      </w:r>
      <w:r>
        <w:rPr>
          <w:sz w:val="24"/>
          <w:szCs w:val="24"/>
        </w:rPr>
        <w:t>Co se změní, pokud matici z vajíčka vybereme a připneme k vajíčku provázkem?</w:t>
      </w:r>
    </w:p>
    <w:p>
      <w:pPr>
        <w:pStyle w:val="Normal"/>
        <w:ind w:left="384" w:hanging="0"/>
        <w:rPr>
          <w:sz w:val="24"/>
          <w:szCs w:val="24"/>
        </w:rPr>
      </w:pPr>
      <w:r>
        <w:rPr>
          <w:b/>
          <w:sz w:val="24"/>
          <w:szCs w:val="24"/>
        </w:rPr>
        <w:t>Diskuze, odhady, zdůvodňování .</w:t>
      </w:r>
      <w:r>
        <w:rPr>
          <w:sz w:val="24"/>
          <w:szCs w:val="24"/>
        </w:rPr>
        <w:t>..</w:t>
      </w:r>
    </w:p>
    <w:p>
      <w:pPr>
        <w:pStyle w:val="Normal"/>
        <w:ind w:left="384" w:hanging="0"/>
        <w:rPr>
          <w:sz w:val="24"/>
          <w:szCs w:val="24"/>
        </w:rPr>
      </w:pPr>
      <w:r>
        <w:rPr>
          <w:b/>
          <w:sz w:val="24"/>
          <w:szCs w:val="24"/>
        </w:rPr>
        <w:t>Ověření prakticky:</w:t>
      </w:r>
    </w:p>
    <w:p>
      <w:pPr>
        <w:pStyle w:val="Normal"/>
        <w:ind w:left="384" w:hanging="0"/>
        <w:rPr>
          <w:sz w:val="24"/>
          <w:szCs w:val="24"/>
        </w:rPr>
      </w:pPr>
      <w:r>
        <w:rPr>
          <w:b/>
          <w:sz w:val="24"/>
          <w:szCs w:val="24"/>
        </w:rPr>
        <w:t>Jak si můžeme ukázat, že se pokaždé vytlačí stejné množství vody? Označíme si nesmývatelným fixem, kam sahá hladina vody při ponoru a pak porovnáme se situací při vyndané matici ve vodě. Voda sahá stejně vysoko, pouze ve druhém případu je část vytlačeného objemu kapaliny reprezentovaná objemem matice.</w:t>
      </w:r>
    </w:p>
    <w:p>
      <w:pPr>
        <w:pStyle w:val="NormalWeb"/>
        <w:spacing w:before="280" w:after="280"/>
        <w:jc w:val="center"/>
        <w:rPr/>
      </w:pPr>
      <w:r>
        <w:rPr/>
        <w:drawing>
          <wp:anchor behindDoc="0" distT="0" distB="0" distL="0" distR="0" simplePos="0" locked="0" layoutInCell="0" allowOverlap="1" relativeHeight="4">
            <wp:simplePos x="0" y="0"/>
            <wp:positionH relativeFrom="column">
              <wp:posOffset>1470660</wp:posOffset>
            </wp:positionH>
            <wp:positionV relativeFrom="paragraph">
              <wp:posOffset>-12065</wp:posOffset>
            </wp:positionV>
            <wp:extent cx="1437640" cy="1734820"/>
            <wp:effectExtent l="0" t="0" r="0" b="0"/>
            <wp:wrapSquare wrapText="largest"/>
            <wp:docPr id="1" name="Obrázek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3" descr=""/>
                    <pic:cNvPicPr>
                      <a:picLocks noChangeAspect="1" noChangeArrowheads="1"/>
                    </pic:cNvPicPr>
                  </pic:nvPicPr>
                  <pic:blipFill>
                    <a:blip r:embed="rId3"/>
                    <a:stretch>
                      <a:fillRect/>
                    </a:stretch>
                  </pic:blipFill>
                  <pic:spPr bwMode="auto">
                    <a:xfrm>
                      <a:off x="0" y="0"/>
                      <a:ext cx="1437640" cy="1734820"/>
                    </a:xfrm>
                    <a:prstGeom prst="rect">
                      <a:avLst/>
                    </a:prstGeom>
                  </pic:spPr>
                </pic:pic>
              </a:graphicData>
            </a:graphic>
          </wp:anchor>
        </w:drawing>
        <w:drawing>
          <wp:anchor behindDoc="0" distT="0" distB="0" distL="0" distR="0" simplePos="0" locked="0" layoutInCell="0" allowOverlap="1" relativeHeight="5">
            <wp:simplePos x="0" y="0"/>
            <wp:positionH relativeFrom="column">
              <wp:posOffset>3174365</wp:posOffset>
            </wp:positionH>
            <wp:positionV relativeFrom="paragraph">
              <wp:posOffset>-13335</wp:posOffset>
            </wp:positionV>
            <wp:extent cx="1301115" cy="1734185"/>
            <wp:effectExtent l="0" t="0" r="0" b="0"/>
            <wp:wrapSquare wrapText="largest"/>
            <wp:docPr id="2" name="Obrázek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4" descr=""/>
                    <pic:cNvPicPr>
                      <a:picLocks noChangeAspect="1" noChangeArrowheads="1"/>
                    </pic:cNvPicPr>
                  </pic:nvPicPr>
                  <pic:blipFill>
                    <a:blip r:embed="rId4"/>
                    <a:stretch>
                      <a:fillRect/>
                    </a:stretch>
                  </pic:blipFill>
                  <pic:spPr bwMode="auto">
                    <a:xfrm>
                      <a:off x="0" y="0"/>
                      <a:ext cx="1301115" cy="1734185"/>
                    </a:xfrm>
                    <a:prstGeom prst="rect">
                      <a:avLst/>
                    </a:prstGeom>
                  </pic:spPr>
                </pic:pic>
              </a:graphicData>
            </a:graphic>
          </wp:anchor>
        </w:drawing>
      </w:r>
    </w:p>
    <w:p>
      <w:pPr>
        <w:pStyle w:val="NormalWeb"/>
        <w:spacing w:before="280" w:after="280"/>
        <w:jc w:val="center"/>
        <w:rPr/>
      </w:pPr>
      <w:r>
        <w:rPr/>
      </w:r>
    </w:p>
    <w:p>
      <w:pPr>
        <w:pStyle w:val="NormalWeb"/>
        <w:spacing w:before="280" w:after="280"/>
        <w:jc w:val="center"/>
        <w:rPr/>
      </w:pPr>
      <w:r>
        <w:rPr/>
      </w:r>
    </w:p>
    <w:p>
      <w:pPr>
        <w:pStyle w:val="NormalWeb"/>
        <w:spacing w:before="280" w:after="280"/>
        <w:jc w:val="center"/>
        <w:rPr/>
      </w:pPr>
      <w:r>
        <w:rPr/>
      </w:r>
    </w:p>
    <w:p>
      <w:pPr>
        <w:pStyle w:val="NormalWeb"/>
        <w:spacing w:before="280" w:after="280"/>
        <w:jc w:val="center"/>
        <w:rPr/>
      </w:pPr>
      <w:r>
        <w:rPr/>
      </w:r>
    </w:p>
    <w:p>
      <w:pPr>
        <w:pStyle w:val="NormalWeb"/>
        <w:spacing w:before="280" w:after="280"/>
        <w:jc w:val="center"/>
        <w:rPr/>
      </w:pPr>
      <w:r>
        <w:drawing>
          <wp:anchor behindDoc="0" distT="0" distB="0" distL="0" distR="0" simplePos="0" locked="0" layoutInCell="0" allowOverlap="1" relativeHeight="6">
            <wp:simplePos x="0" y="0"/>
            <wp:positionH relativeFrom="column">
              <wp:posOffset>283210</wp:posOffset>
            </wp:positionH>
            <wp:positionV relativeFrom="paragraph">
              <wp:posOffset>635</wp:posOffset>
            </wp:positionV>
            <wp:extent cx="2821940" cy="2118360"/>
            <wp:effectExtent l="0" t="0" r="0" b="0"/>
            <wp:wrapSquare wrapText="largest"/>
            <wp:docPr id="3" name="Obrázek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5" descr=""/>
                    <pic:cNvPicPr>
                      <a:picLocks noChangeAspect="1" noChangeArrowheads="1"/>
                    </pic:cNvPicPr>
                  </pic:nvPicPr>
                  <pic:blipFill>
                    <a:blip r:embed="rId5"/>
                    <a:stretch>
                      <a:fillRect/>
                    </a:stretch>
                  </pic:blipFill>
                  <pic:spPr bwMode="auto">
                    <a:xfrm>
                      <a:off x="0" y="0"/>
                      <a:ext cx="2821940" cy="2118360"/>
                    </a:xfrm>
                    <a:prstGeom prst="rect">
                      <a:avLst/>
                    </a:prstGeom>
                  </pic:spPr>
                </pic:pic>
              </a:graphicData>
            </a:graphic>
          </wp:anchor>
        </w:drawing>
        <w:drawing>
          <wp:anchor behindDoc="0" distT="0" distB="0" distL="0" distR="0" simplePos="0" locked="0" layoutInCell="0" allowOverlap="1" relativeHeight="7">
            <wp:simplePos x="0" y="0"/>
            <wp:positionH relativeFrom="column">
              <wp:posOffset>3440430</wp:posOffset>
            </wp:positionH>
            <wp:positionV relativeFrom="paragraph">
              <wp:posOffset>8255</wp:posOffset>
            </wp:positionV>
            <wp:extent cx="2817495" cy="2118995"/>
            <wp:effectExtent l="0" t="0" r="0" b="0"/>
            <wp:wrapSquare wrapText="largest"/>
            <wp:docPr id="4" name="Obrázek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6" descr=""/>
                    <pic:cNvPicPr>
                      <a:picLocks noChangeAspect="1" noChangeArrowheads="1"/>
                    </pic:cNvPicPr>
                  </pic:nvPicPr>
                  <pic:blipFill>
                    <a:blip r:embed="rId6"/>
                    <a:stretch>
                      <a:fillRect/>
                    </a:stretch>
                  </pic:blipFill>
                  <pic:spPr bwMode="auto">
                    <a:xfrm>
                      <a:off x="0" y="0"/>
                      <a:ext cx="2817495" cy="2118995"/>
                    </a:xfrm>
                    <a:prstGeom prst="rect">
                      <a:avLst/>
                    </a:prstGeom>
                  </pic:spPr>
                </pic:pic>
              </a:graphicData>
            </a:graphic>
          </wp:anchor>
        </w:drawing>
      </w:r>
      <w:r>
        <w:rPr/>
        <w:t xml:space="preserve">  </w:t>
      </w:r>
    </w:p>
    <w:p>
      <w:pPr>
        <w:pStyle w:val="NormalWeb"/>
        <w:spacing w:before="280" w:after="280"/>
        <w:rPr/>
      </w:pPr>
      <w:r>
        <w:rPr/>
        <w:t xml:space="preserve">   </w:t>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b/>
          <w:b/>
        </w:rPr>
      </w:pPr>
      <w:r>
        <w:rPr>
          <w:b/>
        </w:rPr>
        <w:t>Jak si nejlépe zapamatovat Archimédův zákon:</w:t>
      </w:r>
    </w:p>
    <w:p>
      <w:pPr>
        <w:pStyle w:val="NormalWeb"/>
        <w:numPr>
          <w:ilvl w:val="0"/>
          <w:numId w:val="2"/>
        </w:numPr>
        <w:spacing w:before="280" w:after="280"/>
        <w:rPr/>
      </w:pPr>
      <w:r>
        <w:rPr/>
        <w:t>Určovat tíhu kapaliny, která se vejde do díry po vloženém tělese.</w:t>
      </w:r>
    </w:p>
    <w:p>
      <w:pPr>
        <w:pStyle w:val="NormalWeb"/>
        <w:spacing w:before="280" w:after="280"/>
        <w:ind w:left="1080" w:hanging="0"/>
        <w:rPr/>
      </w:pPr>
      <w:r>
        <w:rPr/>
        <w:t>(objem díry po tělese * hustota kapaliny * tíhové zrychlení)</w:t>
      </w:r>
    </w:p>
    <w:p>
      <w:pPr>
        <w:pStyle w:val="NormalWeb"/>
        <w:spacing w:before="280" w:after="280"/>
        <w:rPr/>
      </w:pPr>
      <w:r>
        <w:rPr/>
        <w:t>Když se těleso ponoří celé a klesne na dno – tehdy se objem díry = objemu celého tělesa.</w:t>
      </w:r>
    </w:p>
    <w:p>
      <w:pPr>
        <w:pStyle w:val="NormalWeb"/>
        <w:spacing w:before="280" w:after="280"/>
        <w:rPr>
          <w:b/>
          <w:b/>
        </w:rPr>
      </w:pPr>
      <w:r>
        <w:rPr>
          <w:b/>
        </w:rPr>
        <w:t>Jak je to s Archimédem a hustotou?</w:t>
      </w:r>
    </w:p>
    <w:p>
      <w:pPr>
        <w:pStyle w:val="NormalWeb"/>
        <w:numPr>
          <w:ilvl w:val="0"/>
          <w:numId w:val="2"/>
        </w:numPr>
        <w:spacing w:before="280" w:after="280"/>
        <w:rPr/>
      </w:pPr>
      <w:r>
        <w:rPr/>
        <w:t>Pokud má těleso menší hustotu než voda, tak plave. V tomto okamžiku nastává rovnováha jeho tíhové síly a vztlakové síly:</w:t>
      </w:r>
    </w:p>
    <w:p>
      <w:pPr>
        <w:pStyle w:val="NormalWeb"/>
        <w:spacing w:before="280" w:after="280"/>
        <w:ind w:left="720" w:hanging="0"/>
        <w:rPr>
          <w:sz w:val="28"/>
          <w:szCs w:val="28"/>
        </w:rPr>
      </w:pPr>
      <w:r>
        <w:rPr>
          <w:sz w:val="28"/>
          <w:szCs w:val="28"/>
        </w:rPr>
        <w:t>F</w:t>
      </w:r>
      <w:r>
        <w:rPr>
          <w:sz w:val="28"/>
          <w:szCs w:val="28"/>
          <w:vertAlign w:val="subscript"/>
        </w:rPr>
        <w:t>g</w:t>
      </w:r>
      <w:r>
        <w:rPr>
          <w:sz w:val="28"/>
          <w:szCs w:val="28"/>
        </w:rPr>
        <w:t xml:space="preserve">= m.g = V . </w:t>
      </w:r>
      <w:r>
        <w:rPr>
          <w:rFonts w:eastAsia="Arial Unicode MS" w:cs="Arial Unicode MS" w:ascii="Arial Unicode MS" w:hAnsi="Arial Unicode MS"/>
          <w:sz w:val="28"/>
          <w:szCs w:val="28"/>
        </w:rPr>
        <w:t>ϱ</w:t>
      </w:r>
      <w:r>
        <w:rPr>
          <w:sz w:val="28"/>
          <w:szCs w:val="28"/>
          <w:vertAlign w:val="subscript"/>
        </w:rPr>
        <w:t>t</w:t>
      </w:r>
      <w:r>
        <w:rPr>
          <w:sz w:val="28"/>
          <w:szCs w:val="28"/>
        </w:rPr>
        <w:t>. g                         F</w:t>
      </w:r>
      <w:r>
        <w:rPr>
          <w:sz w:val="28"/>
          <w:szCs w:val="28"/>
          <w:vertAlign w:val="subscript"/>
        </w:rPr>
        <w:t>vz</w:t>
      </w:r>
      <w:r>
        <w:rPr>
          <w:sz w:val="28"/>
          <w:szCs w:val="28"/>
        </w:rPr>
        <w:t>= V</w:t>
      </w:r>
      <w:r>
        <w:rPr>
          <w:sz w:val="28"/>
          <w:szCs w:val="28"/>
          <w:vertAlign w:val="superscript"/>
        </w:rPr>
        <w:t>I</w:t>
      </w:r>
      <w:r>
        <w:rPr>
          <w:sz w:val="28"/>
          <w:szCs w:val="28"/>
        </w:rPr>
        <w:t xml:space="preserve">. </w:t>
      </w:r>
      <w:r>
        <w:rPr>
          <w:rFonts w:eastAsia="Arial Unicode MS" w:cs="Arial Unicode MS" w:ascii="Arial Unicode MS" w:hAnsi="Arial Unicode MS"/>
          <w:sz w:val="28"/>
          <w:szCs w:val="28"/>
        </w:rPr>
        <w:t>ϱ</w:t>
      </w:r>
      <w:r>
        <w:rPr>
          <w:sz w:val="28"/>
          <w:szCs w:val="28"/>
          <w:vertAlign w:val="subscript"/>
        </w:rPr>
        <w:t>k</w:t>
      </w:r>
      <w:r>
        <w:rPr>
          <w:sz w:val="28"/>
          <w:szCs w:val="28"/>
        </w:rPr>
        <w:t>. g</w:t>
      </w:r>
      <w:r>
        <w:rPr/>
        <w:t xml:space="preserve">         kde V</w:t>
      </w:r>
      <w:r>
        <w:rPr>
          <w:vertAlign w:val="superscript"/>
        </w:rPr>
        <w:t>I</w:t>
      </w:r>
      <w:r>
        <w:rPr/>
        <w:t>je objem ponořené části tělesa.</w:t>
      </w:r>
    </w:p>
    <w:p>
      <w:pPr>
        <w:pStyle w:val="NormalWeb"/>
        <w:spacing w:beforeAutospacing="0" w:before="0" w:afterAutospacing="0" w:after="0"/>
        <w:ind w:left="720" w:hanging="0"/>
        <w:rPr/>
      </w:pPr>
      <w:r>
        <w:rPr>
          <w:sz w:val="32"/>
          <w:szCs w:val="32"/>
        </w:rPr>
        <w:t xml:space="preserve">V . </w:t>
      </w:r>
      <w:r>
        <w:rPr>
          <w:rFonts w:eastAsia="Arial Unicode MS" w:cs="Arial Unicode MS" w:ascii="Arial Unicode MS" w:hAnsi="Arial Unicode MS"/>
          <w:sz w:val="32"/>
          <w:szCs w:val="32"/>
        </w:rPr>
        <w:t>ϱ</w:t>
      </w:r>
      <w:r>
        <w:rPr>
          <w:sz w:val="32"/>
          <w:szCs w:val="32"/>
          <w:vertAlign w:val="subscript"/>
        </w:rPr>
        <w:t>t</w:t>
      </w:r>
      <w:r>
        <w:rPr>
          <w:sz w:val="32"/>
          <w:szCs w:val="32"/>
        </w:rPr>
        <w:t>. g = V</w:t>
      </w:r>
      <w:r>
        <w:rPr>
          <w:sz w:val="32"/>
          <w:szCs w:val="32"/>
          <w:vertAlign w:val="superscript"/>
        </w:rPr>
        <w:t>I</w:t>
      </w:r>
      <w:r>
        <w:rPr>
          <w:sz w:val="32"/>
          <w:szCs w:val="32"/>
        </w:rPr>
        <w:t xml:space="preserve">. </w:t>
      </w:r>
      <w:r>
        <w:rPr>
          <w:rFonts w:eastAsia="Arial Unicode MS" w:cs="Arial Unicode MS" w:ascii="Arial Unicode MS" w:hAnsi="Arial Unicode MS"/>
          <w:sz w:val="32"/>
          <w:szCs w:val="32"/>
        </w:rPr>
        <w:t>ϱ</w:t>
      </w:r>
      <w:r>
        <w:rPr>
          <w:sz w:val="32"/>
          <w:szCs w:val="32"/>
          <w:vertAlign w:val="subscript"/>
        </w:rPr>
        <w:t>k</w:t>
      </w:r>
      <w:r>
        <w:rPr>
          <w:sz w:val="32"/>
          <w:szCs w:val="32"/>
        </w:rPr>
        <w:t>. g</w:t>
      </w:r>
      <w:r>
        <w:rPr/>
        <w:t xml:space="preserve">             z čeho po vydělení g a úpravou dostaneme:</w:t>
      </w:r>
    </w:p>
    <w:p>
      <w:pPr>
        <w:pStyle w:val="NormalWeb"/>
        <w:spacing w:beforeAutospacing="0" w:before="0" w:afterAutospacing="0" w:after="0"/>
        <w:ind w:left="720" w:hanging="0"/>
        <w:rPr>
          <w:sz w:val="40"/>
          <w:szCs w:val="40"/>
        </w:rPr>
      </w:pPr>
      <w:r>
        <w:rPr>
          <w:sz w:val="40"/>
          <w:szCs w:val="40"/>
        </w:rPr>
        <w:t>V</w:t>
      </w:r>
      <w:r>
        <w:rPr>
          <w:sz w:val="40"/>
          <w:szCs w:val="40"/>
          <w:vertAlign w:val="superscript"/>
        </w:rPr>
        <w:t xml:space="preserve">I </w:t>
      </w:r>
      <w:r>
        <w:rPr>
          <w:sz w:val="40"/>
          <w:szCs w:val="40"/>
        </w:rPr>
        <w:t xml:space="preserve">: V = </w:t>
      </w:r>
      <w:r>
        <w:rPr>
          <w:rFonts w:eastAsia="Arial Unicode MS" w:cs="Arial Unicode MS" w:ascii="Arial Unicode MS" w:hAnsi="Arial Unicode MS"/>
          <w:sz w:val="40"/>
          <w:szCs w:val="40"/>
        </w:rPr>
        <w:t>ϱ</w:t>
      </w:r>
      <w:r>
        <w:rPr>
          <w:sz w:val="40"/>
          <w:szCs w:val="40"/>
          <w:vertAlign w:val="subscript"/>
        </w:rPr>
        <w:t>t</w:t>
      </w:r>
      <w:r>
        <w:rPr>
          <w:sz w:val="40"/>
          <w:szCs w:val="40"/>
        </w:rPr>
        <w:t xml:space="preserve"> : </w:t>
      </w:r>
      <w:r>
        <w:rPr>
          <w:rFonts w:eastAsia="Arial Unicode MS" w:cs="Arial Unicode MS" w:ascii="Arial Unicode MS" w:hAnsi="Arial Unicode MS"/>
          <w:sz w:val="40"/>
          <w:szCs w:val="40"/>
        </w:rPr>
        <w:t>ϱ</w:t>
      </w:r>
      <w:r>
        <w:rPr>
          <w:sz w:val="40"/>
          <w:szCs w:val="40"/>
          <w:vertAlign w:val="subscript"/>
        </w:rPr>
        <w:t>k</w:t>
      </w:r>
    </w:p>
    <w:p>
      <w:pPr>
        <w:pStyle w:val="NormalWeb"/>
        <w:spacing w:before="280" w:after="280"/>
        <w:ind w:left="720" w:hanging="0"/>
        <w:rPr/>
      </w:pPr>
      <w:r>
        <w:rPr>
          <w:rFonts w:eastAsia="Wingdings" w:cs="Wingdings" w:ascii="Wingdings" w:hAnsi="Wingdings"/>
        </w:rPr>
        <w:t></w:t>
      </w:r>
      <w:r>
        <w:rPr/>
        <w:t xml:space="preserve"> </w:t>
      </w:r>
      <w:r>
        <w:rPr/>
        <w:t>Těleso se ponoří takovou částí objemu, jaká je jeho hustota v porovnání s hustotou kapaliny. Pokud má těleso poloviční hustotu než voda, bude ponořeno půlkou svého objemu.</w:t>
      </w:r>
    </w:p>
    <w:p>
      <w:pPr>
        <w:pStyle w:val="NormalWeb"/>
        <w:spacing w:before="280" w:after="280"/>
        <w:rPr>
          <w:b/>
          <w:b/>
        </w:rPr>
      </w:pPr>
      <w:r>
        <w:rPr>
          <w:b/>
        </w:rPr>
        <w:t>Náměty na žákovské pokusy:</w:t>
      </w:r>
    </w:p>
    <w:p>
      <w:pPr>
        <w:pStyle w:val="NormalWeb"/>
        <w:numPr>
          <w:ilvl w:val="0"/>
          <w:numId w:val="2"/>
        </w:numPr>
        <w:spacing w:before="280" w:after="0"/>
        <w:rPr>
          <w:b/>
          <w:b/>
        </w:rPr>
      </w:pPr>
      <w:r>
        <w:rPr>
          <w:b/>
        </w:rPr>
        <w:t>Určení vztlakové síly experimentálně (u tělesa, které plave i u tělesa, které neplave),</w:t>
      </w:r>
    </w:p>
    <w:p>
      <w:pPr>
        <w:pStyle w:val="NormalWeb"/>
        <w:numPr>
          <w:ilvl w:val="0"/>
          <w:numId w:val="2"/>
        </w:numPr>
        <w:spacing w:before="0" w:after="280"/>
        <w:rPr>
          <w:b/>
          <w:b/>
        </w:rPr>
      </w:pPr>
      <w:r>
        <w:rPr>
          <w:b/>
        </w:rPr>
        <w:t>Měření vztlakové síly na vahách –</w:t>
      </w:r>
      <w:r>
        <w:rPr/>
        <w:t xml:space="preserve"> ponořování tělesa do kelímku s vodou a přidávání tělesa (tady je nutné předem si rozmyslet – rozsah vah nemusí stačit)</w:t>
      </w:r>
    </w:p>
    <w:p>
      <w:pPr>
        <w:pStyle w:val="NormalWeb"/>
        <w:spacing w:before="280" w:after="280"/>
        <w:rPr/>
      </w:pPr>
      <w:r>
        <w:rPr>
          <w:b/>
        </w:rPr>
        <w:t xml:space="preserve">Námět na laboratorní práci: </w:t>
      </w:r>
      <w:r>
        <w:rPr/>
        <w:t>určení průměrné hustoty tužky pomocí odměrného válce, vody a pravítka. (Využijeme poměr mezi délkou ponořené části a celkovou délkou = poměru hustoty tužky a hustoty vody).</w:t>
      </w:r>
    </w:p>
    <w:p>
      <w:pPr>
        <w:pStyle w:val="NormalWeb"/>
        <w:spacing w:before="280" w:after="280"/>
        <w:rPr/>
      </w:pPr>
      <w:r>
        <w:rPr/>
      </w:r>
    </w:p>
    <w:p>
      <w:pPr>
        <w:pStyle w:val="Normal"/>
        <w:ind w:left="360" w:hanging="0"/>
        <w:rPr>
          <w:b/>
          <w:b/>
          <w:sz w:val="24"/>
          <w:szCs w:val="24"/>
        </w:rPr>
      </w:pPr>
      <w:r>
        <w:rPr>
          <w:b/>
          <w:sz w:val="24"/>
          <w:szCs w:val="24"/>
        </w:rPr>
        <w:t>Karteziánek</w:t>
      </w:r>
    </w:p>
    <w:p>
      <w:pPr>
        <w:pStyle w:val="Normal"/>
        <w:ind w:left="360" w:hanging="0"/>
        <w:rPr>
          <w:sz w:val="24"/>
          <w:szCs w:val="24"/>
        </w:rPr>
      </w:pPr>
      <w:r>
        <w:rPr>
          <w:b/>
          <w:sz w:val="24"/>
          <w:szCs w:val="24"/>
        </w:rPr>
        <w:t xml:space="preserve">Pomůcky: </w:t>
      </w:r>
      <w:r>
        <w:rPr>
          <w:sz w:val="24"/>
          <w:szCs w:val="24"/>
        </w:rPr>
        <w:t>brčka, kancelářské sponky, láhev s víčkem, voda</w:t>
      </w:r>
    </w:p>
    <w:p>
      <w:pPr>
        <w:pStyle w:val="Normal"/>
        <w:ind w:left="360" w:hanging="0"/>
        <w:rPr>
          <w:sz w:val="24"/>
          <w:szCs w:val="24"/>
        </w:rPr>
      </w:pPr>
      <w:r>
        <w:rPr>
          <w:b/>
          <w:sz w:val="24"/>
          <w:szCs w:val="24"/>
        </w:rPr>
        <w:t xml:space="preserve">Poznámka: </w:t>
      </w:r>
      <w:r>
        <w:rPr>
          <w:sz w:val="24"/>
          <w:szCs w:val="24"/>
        </w:rPr>
        <w:t>Vše bude dobře a snadno fungovat, pokud zatížíte brčko tak, že mu bude trčet z vody jen velmi málo (1-2 mm). Jde toho docílit i tak, že brčko trošku stačíte a tím v něm zmenšíte objem vzduchu.</w:t>
      </w:r>
    </w:p>
    <w:p>
      <w:pPr>
        <w:pStyle w:val="NormalWeb"/>
        <w:spacing w:before="280" w:after="280"/>
        <w:rPr/>
      </w:pPr>
      <w:r>
        <w:rPr/>
        <w:t xml:space="preserve"> </w:t>
      </w:r>
      <w:bookmarkStart w:id="0" w:name="_GoBack"/>
      <w:bookmarkEnd w:id="0"/>
      <w:r>
        <w:drawing>
          <wp:anchor behindDoc="0" distT="0" distB="0" distL="0" distR="0" simplePos="0" locked="0" layoutInCell="0" allowOverlap="1" relativeHeight="2">
            <wp:simplePos x="0" y="0"/>
            <wp:positionH relativeFrom="column">
              <wp:posOffset>1225550</wp:posOffset>
            </wp:positionH>
            <wp:positionV relativeFrom="paragraph">
              <wp:posOffset>-65405</wp:posOffset>
            </wp:positionV>
            <wp:extent cx="2294890" cy="3195320"/>
            <wp:effectExtent l="0" t="0" r="0" b="0"/>
            <wp:wrapSquare wrapText="largest"/>
            <wp:docPr id="5" name="Obrázek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1" descr=""/>
                    <pic:cNvPicPr>
                      <a:picLocks noChangeAspect="1" noChangeArrowheads="1"/>
                    </pic:cNvPicPr>
                  </pic:nvPicPr>
                  <pic:blipFill>
                    <a:blip r:embed="rId7"/>
                    <a:stretch>
                      <a:fillRect/>
                    </a:stretch>
                  </pic:blipFill>
                  <pic:spPr bwMode="auto">
                    <a:xfrm>
                      <a:off x="0" y="0"/>
                      <a:ext cx="2294890" cy="3195320"/>
                    </a:xfrm>
                    <a:prstGeom prst="rect">
                      <a:avLst/>
                    </a:prstGeom>
                  </pic:spPr>
                </pic:pic>
              </a:graphicData>
            </a:graphic>
          </wp:anchor>
        </w:drawing>
        <w:drawing>
          <wp:anchor behindDoc="0" distT="0" distB="0" distL="0" distR="0" simplePos="0" locked="0" layoutInCell="0" allowOverlap="1" relativeHeight="3">
            <wp:simplePos x="0" y="0"/>
            <wp:positionH relativeFrom="column">
              <wp:posOffset>3710940</wp:posOffset>
            </wp:positionH>
            <wp:positionV relativeFrom="paragraph">
              <wp:posOffset>-103505</wp:posOffset>
            </wp:positionV>
            <wp:extent cx="2151380" cy="3219450"/>
            <wp:effectExtent l="0" t="0" r="0" b="0"/>
            <wp:wrapSquare wrapText="largest"/>
            <wp:docPr id="6" name="Obrázek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2" descr=""/>
                    <pic:cNvPicPr>
                      <a:picLocks noChangeAspect="1" noChangeArrowheads="1"/>
                    </pic:cNvPicPr>
                  </pic:nvPicPr>
                  <pic:blipFill>
                    <a:blip r:embed="rId8"/>
                    <a:stretch>
                      <a:fillRect/>
                    </a:stretch>
                  </pic:blipFill>
                  <pic:spPr bwMode="auto">
                    <a:xfrm>
                      <a:off x="0" y="0"/>
                      <a:ext cx="2151380" cy="3219450"/>
                    </a:xfrm>
                    <a:prstGeom prst="rect">
                      <a:avLst/>
                    </a:prstGeom>
                  </pic:spPr>
                </pic:pic>
              </a:graphicData>
            </a:graphic>
          </wp:anchor>
        </w:drawing>
      </w:r>
      <w:r>
        <w:rPr/>
        <w:t xml:space="preserve"> </w:t>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r>
    </w:p>
    <w:p>
      <w:pPr>
        <w:pStyle w:val="NormalWeb"/>
        <w:spacing w:before="280" w:after="280"/>
        <w:rPr/>
      </w:pPr>
      <w:r>
        <w:rPr/>
        <w:t>Čím se to liší?</w:t>
      </w:r>
    </w:p>
    <w:p>
      <w:pPr>
        <w:pStyle w:val="NormalWeb"/>
        <w:spacing w:before="280" w:after="280"/>
        <w:rPr/>
      </w:pPr>
      <w:r>
        <w:rPr/>
        <w:t xml:space="preserve"> </w:t>
      </w:r>
      <w:r>
        <w:rPr/>
        <w:t>První držíte volně, druhou stlačíte. V brčku je vidět zmenšení objemu vzduchu. Vzduch je stlačitelný, zmenší se tím objem tělesa a taky vztlaková síla, proto klesá ke dnu.</w:t>
      </w:r>
    </w:p>
    <w:sectPr>
      <w:type w:val="nextPage"/>
      <w:pgSz w:w="11906" w:h="16838"/>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 w:name="Wingdings">
    <w:charset w:val="ee"/>
    <w:family w:val="roman"/>
    <w:pitch w:val="variable"/>
  </w:font>
  <w:font w:name="Arial Unicode MS">
    <w:charset w:val="ee"/>
    <w:family w:val="roman"/>
    <w:pitch w:val="variable"/>
  </w:font>
  <w:font w:name="Calibri">
    <w:charset w:val="01"/>
    <w:family w:val="swiss"/>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1080" w:hanging="360"/>
      </w:pPr>
      <w:rPr>
        <w:rFonts w:ascii="Calibri" w:hAnsi="Calibri" w:cs="Calibri" w:hint="default"/>
        <w:rFonts w:eastAsiaTheme="minorHAnsi"/>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lvl w:ilvl="0">
      <w:numFmt w:val="bullet"/>
      <w:lvlText w:val=""/>
      <w:lvlJc w:val="left"/>
      <w:pPr>
        <w:tabs>
          <w:tab w:val="num" w:pos="0"/>
        </w:tabs>
        <w:ind w:left="720" w:hanging="360"/>
      </w:pPr>
      <w:rPr>
        <w:rFonts w:ascii="Wingdings" w:hAnsi="Wingdings" w:cs="Wingdings" w:hint="default"/>
        <w:rFonts w:cstheme="minorBidi" w:eastAsiaTheme="minorHAnsi"/>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decimal"/>
      <w:lvlText w:val="%1."/>
      <w:lvlJc w:val="left"/>
      <w:pPr>
        <w:tabs>
          <w:tab w:val="num" w:pos="0"/>
        </w:tabs>
        <w:ind w:left="744" w:hanging="360"/>
      </w:pPr>
      <w:rPr/>
    </w:lvl>
    <w:lvl w:ilvl="1">
      <w:start w:val="1"/>
      <w:numFmt w:val="lowerLetter"/>
      <w:lvlText w:val="%2."/>
      <w:lvlJc w:val="left"/>
      <w:pPr>
        <w:tabs>
          <w:tab w:val="num" w:pos="0"/>
        </w:tabs>
        <w:ind w:left="1464" w:hanging="360"/>
      </w:pPr>
      <w:rPr/>
    </w:lvl>
    <w:lvl w:ilvl="2">
      <w:start w:val="1"/>
      <w:numFmt w:val="lowerRoman"/>
      <w:lvlText w:val="%3."/>
      <w:lvlJc w:val="right"/>
      <w:pPr>
        <w:tabs>
          <w:tab w:val="num" w:pos="0"/>
        </w:tabs>
        <w:ind w:left="2184" w:hanging="180"/>
      </w:pPr>
      <w:rPr/>
    </w:lvl>
    <w:lvl w:ilvl="3">
      <w:start w:val="1"/>
      <w:numFmt w:val="decimal"/>
      <w:lvlText w:val="%4."/>
      <w:lvlJc w:val="left"/>
      <w:pPr>
        <w:tabs>
          <w:tab w:val="num" w:pos="0"/>
        </w:tabs>
        <w:ind w:left="2904" w:hanging="360"/>
      </w:pPr>
      <w:rPr/>
    </w:lvl>
    <w:lvl w:ilvl="4">
      <w:start w:val="1"/>
      <w:numFmt w:val="lowerLetter"/>
      <w:lvlText w:val="%5."/>
      <w:lvlJc w:val="left"/>
      <w:pPr>
        <w:tabs>
          <w:tab w:val="num" w:pos="0"/>
        </w:tabs>
        <w:ind w:left="3624" w:hanging="360"/>
      </w:pPr>
      <w:rPr/>
    </w:lvl>
    <w:lvl w:ilvl="5">
      <w:start w:val="1"/>
      <w:numFmt w:val="lowerRoman"/>
      <w:lvlText w:val="%6."/>
      <w:lvlJc w:val="right"/>
      <w:pPr>
        <w:tabs>
          <w:tab w:val="num" w:pos="0"/>
        </w:tabs>
        <w:ind w:left="4344" w:hanging="180"/>
      </w:pPr>
      <w:rPr/>
    </w:lvl>
    <w:lvl w:ilvl="6">
      <w:start w:val="1"/>
      <w:numFmt w:val="decimal"/>
      <w:lvlText w:val="%7."/>
      <w:lvlJc w:val="left"/>
      <w:pPr>
        <w:tabs>
          <w:tab w:val="num" w:pos="0"/>
        </w:tabs>
        <w:ind w:left="5064" w:hanging="360"/>
      </w:pPr>
      <w:rPr/>
    </w:lvl>
    <w:lvl w:ilvl="7">
      <w:start w:val="1"/>
      <w:numFmt w:val="lowerLetter"/>
      <w:lvlText w:val="%8."/>
      <w:lvlJc w:val="left"/>
      <w:pPr>
        <w:tabs>
          <w:tab w:val="num" w:pos="0"/>
        </w:tabs>
        <w:ind w:left="5784" w:hanging="360"/>
      </w:pPr>
      <w:rPr/>
    </w:lvl>
    <w:lvl w:ilvl="8">
      <w:start w:val="1"/>
      <w:numFmt w:val="lowerRoman"/>
      <w:lvlText w:val="%9."/>
      <w:lvlJc w:val="right"/>
      <w:pPr>
        <w:tabs>
          <w:tab w:val="num" w:pos="0"/>
        </w:tabs>
        <w:ind w:left="6504"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73"/>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cs-CZ"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cs-CZ"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cs-CZ" w:eastAsia="en-US" w:bidi="ar-SA"/>
    </w:rPr>
  </w:style>
  <w:style w:type="character" w:styleId="DefaultParagraphFont" w:default="1">
    <w:name w:val="Default Paragraph Font"/>
    <w:uiPriority w:val="1"/>
    <w:semiHidden/>
    <w:unhideWhenUsed/>
    <w:qFormat/>
    <w:rPr/>
  </w:style>
  <w:style w:type="character" w:styleId="PlaceholderText">
    <w:name w:val="Placeholder Text"/>
    <w:basedOn w:val="DefaultParagraphFont"/>
    <w:uiPriority w:val="99"/>
    <w:semiHidden/>
    <w:qFormat/>
    <w:rsid w:val="004b4e01"/>
    <w:rPr>
      <w:color w:val="808080"/>
    </w:rPr>
  </w:style>
  <w:style w:type="character" w:styleId="Internetovodkaz">
    <w:name w:val="Hyperlink"/>
    <w:basedOn w:val="DefaultParagraphFont"/>
    <w:uiPriority w:val="99"/>
    <w:unhideWhenUsed/>
    <w:rsid w:val="00cc718a"/>
    <w:rPr>
      <w:color w:val="0563C1" w:themeColor="hyperlink"/>
      <w:u w:val="single"/>
    </w:rPr>
  </w:style>
  <w:style w:type="paragraph" w:styleId="Nadpis">
    <w:name w:val="Nadpis"/>
    <w:basedOn w:val="Normal"/>
    <w:next w:val="Tlotextu"/>
    <w:qFormat/>
    <w:pPr>
      <w:keepNext w:val="true"/>
      <w:spacing w:before="240" w:after="120"/>
    </w:pPr>
    <w:rPr>
      <w:rFonts w:ascii="Liberation Sans" w:hAnsi="Liberation Sans" w:eastAsia="Microsoft YaHei" w:cs="Lucida Sans"/>
      <w:sz w:val="28"/>
      <w:szCs w:val="28"/>
    </w:rPr>
  </w:style>
  <w:style w:type="paragraph" w:styleId="Tlotextu">
    <w:name w:val="Body Text"/>
    <w:basedOn w:val="Normal"/>
    <w:pPr>
      <w:spacing w:lineRule="auto" w:line="276" w:before="0" w:after="140"/>
    </w:pPr>
    <w:rPr/>
  </w:style>
  <w:style w:type="paragraph" w:styleId="Seznam">
    <w:name w:val="List"/>
    <w:basedOn w:val="Tlotextu"/>
    <w:pPr/>
    <w:rPr>
      <w:rFonts w:cs="Lucida Sans"/>
    </w:rPr>
  </w:style>
  <w:style w:type="paragraph" w:styleId="Popisek">
    <w:name w:val="Caption"/>
    <w:basedOn w:val="Normal"/>
    <w:qFormat/>
    <w:pPr>
      <w:suppressLineNumbers/>
      <w:spacing w:before="120" w:after="120"/>
    </w:pPr>
    <w:rPr>
      <w:rFonts w:cs="Lucida Sans"/>
      <w:i/>
      <w:iCs/>
      <w:sz w:val="24"/>
      <w:szCs w:val="24"/>
    </w:rPr>
  </w:style>
  <w:style w:type="paragraph" w:styleId="Rejstk">
    <w:name w:val="Rejstřík"/>
    <w:basedOn w:val="Normal"/>
    <w:qFormat/>
    <w:pPr>
      <w:suppressLineNumbers/>
    </w:pPr>
    <w:rPr>
      <w:rFonts w:cs="Lucida Sans"/>
      <w:lang w:val="zxx" w:eastAsia="zxx" w:bidi="zxx"/>
    </w:rPr>
  </w:style>
  <w:style w:type="paragraph" w:styleId="ListParagraph">
    <w:name w:val="List Paragraph"/>
    <w:basedOn w:val="Normal"/>
    <w:uiPriority w:val="34"/>
    <w:qFormat/>
    <w:rsid w:val="00dc71c6"/>
    <w:pPr>
      <w:spacing w:before="0" w:after="160"/>
      <w:ind w:left="720" w:hanging="0"/>
      <w:contextualSpacing/>
    </w:pPr>
    <w:rPr/>
  </w:style>
  <w:style w:type="paragraph" w:styleId="NormalWeb">
    <w:name w:val="Normal (Web)"/>
    <w:basedOn w:val="Normal"/>
    <w:uiPriority w:val="99"/>
    <w:semiHidden/>
    <w:unhideWhenUsed/>
    <w:qFormat/>
    <w:rsid w:val="00d84cbf"/>
    <w:pPr>
      <w:spacing w:lineRule="auto" w:line="240" w:beforeAutospacing="1" w:afterAutospacing="1"/>
    </w:pPr>
    <w:rPr>
      <w:rFonts w:ascii="Times New Roman" w:hAnsi="Times New Roman" w:eastAsia="Times New Roman" w:cs="Times New Roman"/>
      <w:sz w:val="24"/>
      <w:szCs w:val="24"/>
      <w:lang w:eastAsia="cs-CZ"/>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UodGr6RtjNY" TargetMode="External"/><Relationship Id="rId3" Type="http://schemas.openxmlformats.org/officeDocument/2006/relationships/image" Target="media/image1.jpeg"/><Relationship Id="rId4" Type="http://schemas.openxmlformats.org/officeDocument/2006/relationships/image" Target="media/image2.jpeg"/><Relationship Id="rId5" Type="http://schemas.openxmlformats.org/officeDocument/2006/relationships/image" Target="media/image3.jpeg"/><Relationship Id="rId6" Type="http://schemas.openxmlformats.org/officeDocument/2006/relationships/image" Target="media/image4.jpeg"/><Relationship Id="rId7" Type="http://schemas.openxmlformats.org/officeDocument/2006/relationships/image" Target="media/image5.jpeg"/><Relationship Id="rId8" Type="http://schemas.openxmlformats.org/officeDocument/2006/relationships/image" Target="media/image6.jpeg"/><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Application>LibreOffice/7.4.1.2$Windows_X86_64 LibreOffice_project/3c58a8f3a960df8bc8fd77b461821e42c061c5f0</Application>
  <AppVersion>15.0000</AppVersion>
  <Pages>4</Pages>
  <Words>960</Words>
  <Characters>5162</Characters>
  <CharactersWithSpaces>6125</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2024-04-02T17:44:00Z</dcterms:created>
  <dc:creator>Microsoft account</dc:creator>
  <dc:description/>
  <dc:language>cs-CZ</dc:language>
  <cp:lastModifiedBy/>
  <dcterms:modified xsi:type="dcterms:W3CDTF">2024-08-10T10:56:06Z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